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Arial" w:hAnsi="Arial" w:cs="Arial"/>
          <w:sz w:val="2"/>
          <w:szCs w:val="2"/>
        </w:rPr>
      </w:pPr>
      <w:r>
        <w:rPr>
          <w:rFonts w:cs="Arial" w:ascii="Arial" w:hAnsi="Arial"/>
          <w:sz w:val="2"/>
          <w:szCs w:val="2"/>
        </w:rPr>
      </w:r>
    </w:p>
    <w:tbl>
      <w:tblPr>
        <w:tblW w:w="5000" w:type="pct"/>
        <w:jc w:val="left"/>
        <w:tblInd w:w="-9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4"/>
        <w:gridCol w:w="4459"/>
        <w:gridCol w:w="2180"/>
        <w:gridCol w:w="1759"/>
        <w:gridCol w:w="1674"/>
        <w:gridCol w:w="1694"/>
        <w:gridCol w:w="1696"/>
      </w:tblGrid>
      <w:tr>
        <w:trPr>
          <w:trHeight w:val="412" w:hRule="atLeast"/>
        </w:trPr>
        <w:tc>
          <w:tcPr>
            <w:tcW w:w="14286" w:type="dxa"/>
            <w:gridSpan w:val="7"/>
            <w:tcBorders/>
            <w:vAlign w:val="center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Раздел 1</w:t>
            </w:r>
          </w:p>
        </w:tc>
      </w:tr>
      <w:tr>
        <w:trPr>
          <w:trHeight w:val="1354" w:hRule="atLeast"/>
        </w:trPr>
        <w:tc>
          <w:tcPr>
            <w:tcW w:w="14286" w:type="dxa"/>
            <w:gridSpan w:val="7"/>
            <w:tcBorders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Сведения о показателях (индикаторах) государственной программы «Содействие занятости населения, государственное регулирование социально-трудовых отношений и охраны труда в Брянской области», показателях (индикаторах) основных мероприятий (проектов)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587" w:hRule="atLeast"/>
        </w:trPr>
        <w:tc>
          <w:tcPr>
            <w:tcW w:w="8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пп</w:t>
            </w:r>
          </w:p>
        </w:tc>
        <w:tc>
          <w:tcPr>
            <w:tcW w:w="44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21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Единица измерения</w:t>
            </w:r>
          </w:p>
        </w:tc>
        <w:tc>
          <w:tcPr>
            <w:tcW w:w="68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Целевые значения показателей (индикаторов)</w:t>
            </w:r>
          </w:p>
        </w:tc>
      </w:tr>
      <w:tr>
        <w:trPr>
          <w:trHeight w:val="587" w:hRule="atLeast"/>
        </w:trPr>
        <w:tc>
          <w:tcPr>
            <w:tcW w:w="824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459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180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2022 год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2023 год</w:t>
            </w:r>
          </w:p>
        </w:tc>
        <w:tc>
          <w:tcPr>
            <w:tcW w:w="16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6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2025 год</w:t>
            </w:r>
          </w:p>
        </w:tc>
      </w:tr>
      <w:tr>
        <w:trPr>
          <w:trHeight w:val="587" w:hRule="atLeast"/>
        </w:trPr>
        <w:tc>
          <w:tcPr>
            <w:tcW w:w="8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4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1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7</w:t>
            </w:r>
          </w:p>
        </w:tc>
      </w:tr>
      <w:tr>
        <w:trPr>
          <w:trHeight w:val="462" w:hRule="atLeast"/>
        </w:trPr>
        <w:tc>
          <w:tcPr>
            <w:tcW w:w="142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1. Показатели (индикаторы) государственной программы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Уровень регистрируемой безработицы в среднем за год</w:t>
              <w:tab/>
              <w:t>%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0,7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0,7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0,7</w:t>
            </w:r>
          </w:p>
        </w:tc>
      </w:tr>
      <w:tr>
        <w:trPr>
          <w:trHeight w:val="462" w:hRule="atLeast"/>
        </w:trPr>
        <w:tc>
          <w:tcPr>
            <w:tcW w:w="142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Показатели (индикаторы) основных мероприятий (проектов)</w:t>
            </w:r>
          </w:p>
        </w:tc>
      </w:tr>
      <w:tr>
        <w:trPr>
          <w:trHeight w:val="462" w:hRule="atLeast"/>
        </w:trPr>
        <w:tc>
          <w:tcPr>
            <w:tcW w:w="142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2. Региональный проект "Содействие занятости (Брянская область)"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Количество центров занятости населения, в которых реализуются или реализованы проекты по модернизации (нарастающим итогом)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единица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2.2.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Численность прошедших переобучение и повышение квалификации женщин, находящихся в отпуске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2.3.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Численность работников промышленных предприятий, прошедших профессиональное обучение и получивших дополнительное профессиональное образование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Arial" w:ascii="Arial" w:hAnsi="Arial"/>
                <w:sz w:val="2"/>
                <w:szCs w:val="2"/>
              </w:rPr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2.4.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Численность трудоустроенных на временные работы граждан из числа работников организаций, находящихся под риском увольнения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Arial" w:ascii="Arial" w:hAnsi="Arial"/>
                <w:sz w:val="2"/>
                <w:szCs w:val="2"/>
              </w:rPr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458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2.5.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Численность трудоустроенных на общественные работы граждан, зарегистрированных в органах службы занятости в целях поиска подходящей работы, включая безработных граждан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Arial" w:ascii="Arial" w:hAnsi="Arial"/>
                <w:sz w:val="2"/>
                <w:szCs w:val="2"/>
              </w:rPr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237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>
        <w:trPr>
          <w:trHeight w:val="462" w:hRule="atLeast"/>
        </w:trPr>
        <w:tc>
          <w:tcPr>
            <w:tcW w:w="142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3. Региональный проект "Старшее поколение (Брянская область)"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3.1.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Численность прошедших профессиональное обучение и дополнительное профессиональное образование при содействии органов службы занятости лиц в возрасте 50-ти лет и старше, а также лиц предпенсионного возраста (с нарастающим итогом)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>
        <w:trPr>
          <w:trHeight w:val="462" w:hRule="atLeast"/>
        </w:trPr>
        <w:tc>
          <w:tcPr>
            <w:tcW w:w="142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4. Обеспечение социальной поддержки безработных граждан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4.1.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Уровень безработицы (по методологии МОТ)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3,4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3,4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3,4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3,3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4.2.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Численность безработных (по методологии МОТ)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тысяча человек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19,5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4.3.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тысяча человек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4,5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4,2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>
        <w:trPr>
          <w:trHeight w:val="462" w:hRule="atLeast"/>
        </w:trPr>
        <w:tc>
          <w:tcPr>
            <w:tcW w:w="142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5. Содействие занятости безработных граждан, граждан, находящихся под риском увольнения, а также в различных режимах занятости, граждан, испытывающих трудности в поиске работы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5.1.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Количество оборудованных (оснащенных) рабочих мест для трудоустройства инвалидов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единица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5.2.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Отношение численности граждан, снятых с регистрационного учета в связи с трудоустройством, к общей численности граждан, обратившихся в органы службы занятости населения за содействием в поиске подходящей работы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67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5.3.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Численность инвалидов, трудоустроенных на оборудованные (оснащенные) рабочие места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5.4.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Численность инвалидов, трудоустроенных с привлечением наставников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5.5.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Численность трудоустроенных на временные работы граждан из числа работников организаций, находящихся под риском увольнения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1964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5.6.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Численность трудоустроенных на общественные работы граждан, ищущих работу и обратившихся в органы службы занятости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1178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>
        <w:trPr>
          <w:trHeight w:val="462" w:hRule="atLeast"/>
        </w:trPr>
        <w:tc>
          <w:tcPr>
            <w:tcW w:w="142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6. Регулирование социально-трудовых отношений, совершенствование системы оплаты труда работников учреждений, ориентированной на достижение показателей качества и количества оказываемых услуг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6.1.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Реальная заработная плата работников организаций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98,1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102,8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103,2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103,8</w:t>
            </w:r>
          </w:p>
        </w:tc>
      </w:tr>
      <w:tr>
        <w:trPr>
          <w:trHeight w:val="462" w:hRule="atLeast"/>
        </w:trPr>
        <w:tc>
          <w:tcPr>
            <w:tcW w:w="142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7. 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7.1.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Количество дней временной нетрудоспособности в связи с несчастным случаем на производстве в расчете на 1 пострадавшего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сутки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66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7.2.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Количество рабочих мест, на которых проведена специальная оценка условий труда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единица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1500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1500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1500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1500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7.3.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Количество рабочих мест, на которых улучшены условия труда по результатам специальной оценки условий труда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единица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300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7.4.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Удельный вес работников, занятых во вредных и (или) опасных условиях труда, от общей численности работников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34,6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34,6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34,6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34,6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7.5.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Удельный вес рабочих мест, на которых проведена специальная оценка условий труда, в общем количестве рабочих мест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3,5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3,5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3,5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3,5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7.6.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Численность лиц с установленным предварительным диагнозом профессионального заболевания по результатам проведения обязательных периодических медицинских осмотров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21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7.7.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Численность пострадавших в результате несчастных случаев на производстве с утратой трудоспособности на 1 рабочий день и более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360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7.8.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Численность пострадавших в результате несчастных случаев на производстве со смертельным исходом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16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7.9.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Численность работников, занятых во вредных и (или) опасных условиях труда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35430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35430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35430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35430</w:t>
            </w:r>
          </w:p>
        </w:tc>
      </w:tr>
      <w:tr>
        <w:trPr>
          <w:trHeight w:val="462" w:hRule="atLeast"/>
        </w:trPr>
        <w:tc>
          <w:tcPr>
            <w:tcW w:w="142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8. Закрепление переселившихся участников Государственной программы в Брянской области и обеспечение их социально-культурной адаптации и интеграции в российское общество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8.1.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Доля занятых участников государственной программы в сфере сельского хозяйства от общего числа участников государственной программы трудоспособного возраста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8.2.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Доля занятых участников государственной программы, осуществляющих предпринимательскую деятельность от общего числа участников государственной программы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8.3.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Доля участников государственной программы и членов их семей, имеющих среднее профессиональное или высшее образование, в общем количестве прибывших в Брянскую область участников государственной программы и членов их семей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8.4.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Доля участников государственной программы и членов их семей, охваченных мероприятиями, направленными на социальную, культурную адаптацию и интеграцию в принимающее сообщество в течение всего срока реализации программы, от общего числа обратившихся участников государственной программы и членов их семей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8.5.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Доля участников государственной программы и членов их семей, получающих среднее профессиональное, высшее образование в образовательных организациях Брянской области от общего числа участников государственной программы и членов их семей в возрастной категории до 25 лет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8.6.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Количество проведенных презентаций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8.7.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Численность участников государственной программы и членов их семей, прибывших в Брянскую область и поставленных на учет в управление МВД России по Брянской области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8.8.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Численность участников государственной программы, прибывших в Брянскую область и поставленных на учет в управление МВД России по Брянской области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>
        <w:trPr>
          <w:trHeight w:val="462" w:hRule="atLeast"/>
        </w:trPr>
        <w:tc>
          <w:tcPr>
            <w:tcW w:w="142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9. Оказание содействия занятости, повышение конкурентоспособности на рынке труда и обеспечение сопровождаемого содействия при трудоустройстве инвалидов молодого возраста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9.1.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Доля занятых инвалидов молодого возраста, нашедших работу в течение 3 месяцев после получения образования по образовательным программам высшего образования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50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9.2.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Доля занятых инвалидов молодого возраста, нашедших работу в течение 3 месяцев после получения образования по образовательным программам среднего профессионального образования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45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9.3.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Доля занятых инвалидов молодого возраста, нашедших работу в течение 6 месяцев после получения образования по образовательным программам высшего образования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55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9.4.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Доля занятых инвалидов молодого возраста, нашедших работу в течение 6 месяцев после получения образования по образовательным программам среднего профессионального образования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50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9.5.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Доля занятых инвалидов молодого возраста, нашедших работу по прошествии 6 месяцев и более после получения образования по образовательным программам высшего образования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80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9.6.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Доля занятых инвалидов молодого возраста, нашедших работу по прошествии 6 месяцев и более после получения образования по образовательным программам среднего профессионального образования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60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9.7.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Доля инвалидов молодого возраста, обучающихся по программам высшего образования, в общей численности инвалидов соответствующего возраста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2,4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2,5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9.8.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Доля инвалидов молодого возраста, обучающихся по программам среднего профессионального образования, в общей численности инвалидов соответствующего возраста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18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9.9.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Доля инвалидов молодого возраста, принятых на обучение по программам высшего образования, в общей численности инвалидов соответствующего возраста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9.10.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Доля инвалидов молодого возраста, принятых на обучение по программам среднего профессионального образования, в общей численности инвалидов соответствующего возраста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15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9.11.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Доля инвалидов молодого возраста, успешно завершивших обучение по программам высшего образования, от числа принятых на обучение в соответствующем году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80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9.12.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Доля инвалидов молодого возраста, успешно завершивших обучение по программам среднего профессионального образования, от числа принятых на обучение в соответствующем году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90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9.13.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Доля работающих в отчетном периоде инвалидов в общей численности инвалидов трудоспособного возраста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25,2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25,5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25,5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9.14.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Количество оборудованных (оснащенных) рабочих мест для трудоустройства инвалидов молодого возраста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единица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9.15.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Численность инвалидов молодого возраста, получивших единовременную финансовую помощь 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(фермерского) хозяйства, постановке на учет физического лица в качестве налогоплательщика налога на профессиональный доход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9.16.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Численность инвалидов молодого возраста, прошедших профессиональное обучение и дополнительное профессиональное образование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7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9.17.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Численность инвалидов молодого возраста, трудоустроенных на оборудованные (оснащенные) рабочие места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>
        <w:trPr>
          <w:trHeight w:val="462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9.18.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Численность инвалидов молодого возраста, трудоустроенных с привлечением наставников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>
        <w:trPr>
          <w:trHeight w:val="288" w:hRule="atLeast"/>
        </w:trPr>
        <w:tc>
          <w:tcPr>
            <w:tcW w:w="824" w:type="dxa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Arial" w:ascii="Arial" w:hAnsi="Arial"/>
                <w:sz w:val="2"/>
                <w:szCs w:val="2"/>
              </w:rPr>
            </w:r>
          </w:p>
        </w:tc>
        <w:tc>
          <w:tcPr>
            <w:tcW w:w="4459" w:type="dxa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Arial" w:ascii="Arial" w:hAnsi="Arial"/>
                <w:sz w:val="2"/>
                <w:szCs w:val="2"/>
              </w:rPr>
            </w:r>
          </w:p>
        </w:tc>
        <w:tc>
          <w:tcPr>
            <w:tcW w:w="2180" w:type="dxa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Arial" w:ascii="Arial" w:hAnsi="Arial"/>
                <w:sz w:val="2"/>
                <w:szCs w:val="2"/>
              </w:rPr>
            </w:r>
          </w:p>
        </w:tc>
        <w:tc>
          <w:tcPr>
            <w:tcW w:w="1759" w:type="dxa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Arial" w:ascii="Arial" w:hAnsi="Arial"/>
                <w:sz w:val="2"/>
                <w:szCs w:val="2"/>
              </w:rPr>
            </w:r>
          </w:p>
        </w:tc>
        <w:tc>
          <w:tcPr>
            <w:tcW w:w="1674" w:type="dxa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Arial" w:ascii="Arial" w:hAnsi="Arial"/>
                <w:sz w:val="2"/>
                <w:szCs w:val="2"/>
              </w:rPr>
            </w:r>
          </w:p>
        </w:tc>
        <w:tc>
          <w:tcPr>
            <w:tcW w:w="1694" w:type="dxa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Arial" w:ascii="Arial" w:hAnsi="Arial"/>
                <w:sz w:val="2"/>
                <w:szCs w:val="2"/>
              </w:rPr>
            </w:r>
          </w:p>
        </w:tc>
        <w:tc>
          <w:tcPr>
            <w:tcW w:w="1696" w:type="dxa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Arial" w:ascii="Arial" w:hAnsi="Arial"/>
                <w:sz w:val="2"/>
                <w:szCs w:val="2"/>
              </w:rPr>
            </w:r>
          </w:p>
        </w:tc>
      </w:tr>
    </w:tbl>
    <w:p>
      <w:pPr>
        <w:pStyle w:val="Normal"/>
        <w:rPr>
          <w:rFonts w:ascii="Arial" w:hAnsi="Arial" w:cs="Arial"/>
        </w:rPr>
      </w:pPr>
      <w:r>
        <w:rPr/>
      </w:r>
    </w:p>
    <w:sectPr>
      <w:type w:val="nextPage"/>
      <w:pgSz w:orient="landscape" w:w="16838" w:h="11906"/>
      <w:pgMar w:left="1701" w:right="850" w:header="0" w:top="1134" w:footer="0" w:bottom="1134" w:gutter="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20"/>
  <w:autoHyphenation w:val="true"/>
  <w:compat>
    <w:doNotExpandShiftReturn/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keepNext w:val="false"/>
      <w:keepLines w:val="false"/>
      <w:pageBreakBefore w:val="false"/>
      <w:widowControl/>
      <w:shd w:val="clear" w:fill="auto"/>
      <w:suppressAutoHyphens w:val="false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4"/>
      <w:szCs w:val="24"/>
      <w:lang w:val="ru-RU" w:eastAsia="zh-CN" w:bidi="hi-IN"/>
    </w:rPr>
  </w:style>
  <w:style w:type="character" w:styleId="DefaultParagraphFont" w:default="1">
    <w:name w:val="Default Paragraph Font"/>
    <w:semiHidden/>
    <w:qFormat/>
    <w:rPr/>
  </w:style>
  <w:style w:type="character" w:styleId="Style14">
    <w:name w:val="Нумерация строк"/>
    <w:basedOn w:val="DefaultParagraphFont"/>
    <w:semiHidden/>
    <w:rPr/>
  </w:style>
  <w:style w:type="character" w:styleId="Style15">
    <w:name w:val="Интернет-ссылка"/>
    <w:rPr>
      <w:color w:val="0000FF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Style21">
    <w:name w:val="Содержимое таблицы"/>
    <w:basedOn w:val="Normal"/>
    <w:qFormat/>
    <w:pPr>
      <w:widowControl w:val="false"/>
      <w:suppressLineNumbers/>
    </w:pPr>
    <w:rPr/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  <w:style w:type="table" w:default="1" w:styleId="T0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top w:val="single" w:color="000000" w:themeTint="0" w:sz="4" w:space="0"/>
        <w:left w:val="single" w:color="000000" w:themeTint="0" w:sz="4" w:space="0"/>
        <w:bottom w:val="single" w:color="000000" w:themeTint="0" w:sz="4" w:space="0"/>
        <w:right w:val="single" w:color="000000" w:themeTint="0" w:sz="4" w:space="0"/>
        <w:insideH w:val="single" w:color="000000" w:themeTint="0" w:sz="4" w:space="0"/>
        <w:insideV w:val="single" w:color="000000" w:themeTint="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LibreOffice/7.0.1.2$Windows_X86_64 LibreOffice_project/7cbcfc562f6eb6708b5ff7d7397325de9e764452</Application>
  <Pages>10</Pages>
  <Words>1337</Words>
  <Characters>8859</Characters>
  <CharactersWithSpaces>9808</CharactersWithSpaces>
  <Paragraphs>388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2022-10-21T13:35:26Z</dcterms:created>
  <dc:creator>Keysystems.DWH2.ReportDesigner</dc:creator>
  <dc:description/>
  <dc:language>ru-RU</dc:language>
  <cp:lastModifiedBy/>
  <dcterms:modified xsi:type="dcterms:W3CDTF">2022-10-26T10:12:43Z</dcterms:modified>
  <cp:revision>6</cp:revision>
  <dc:subject>РЎРѕР·РґР°РЅ: s_makarov 08.08.2019 17:44:19; РР·РјРµРЅРµРЅ: n_makarov 20.10.2022 15:18:42</dc:subject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21.1</vt:lpwstr>
  </property>
</Properties>
</file>